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hint="eastAsia"/>
          <w:b/>
          <w:bCs/>
          <w:color w:val="000000" w:themeColor="text1"/>
          <w:sz w:val="40"/>
          <w:szCs w:val="32"/>
          <w:lang w:val="en-US" w:eastAsia="zh-CN"/>
          <w14:textFill>
            <w14:solidFill>
              <w14:schemeClr w14:val="tx1"/>
            </w14:solidFill>
          </w14:textFill>
        </w:rPr>
      </w:pPr>
      <w:r>
        <w:rPr>
          <w:rFonts w:hint="eastAsia"/>
          <w:b/>
          <w:bCs/>
          <w:color w:val="000000" w:themeColor="text1"/>
          <w:sz w:val="40"/>
          <w:szCs w:val="32"/>
          <w:lang w:val="en-US" w:eastAsia="zh-CN"/>
          <w14:textFill>
            <w14:solidFill>
              <w14:schemeClr w14:val="tx1"/>
            </w14:solidFill>
          </w14:textFill>
        </w:rPr>
        <w:t>一、新能源</w:t>
      </w:r>
      <w:bookmarkStart w:id="0" w:name="_GoBack"/>
      <w:bookmarkEnd w:id="0"/>
      <w:r>
        <w:rPr>
          <w:rFonts w:hint="eastAsia"/>
          <w:b/>
          <w:bCs/>
          <w:color w:val="000000" w:themeColor="text1"/>
          <w:sz w:val="40"/>
          <w:szCs w:val="32"/>
          <w:lang w:val="en-US" w:eastAsia="zh-CN"/>
          <w14:textFill>
            <w14:solidFill>
              <w14:schemeClr w14:val="tx1"/>
            </w14:solidFill>
          </w14:textFill>
        </w:rPr>
        <w:t>专用车采购需求一览表</w:t>
      </w:r>
    </w:p>
    <w:tbl>
      <w:tblPr>
        <w:tblStyle w:val="4"/>
        <w:tblpPr w:leftFromText="180" w:rightFromText="180" w:vertAnchor="text" w:horzAnchor="page" w:tblpX="1811" w:tblpY="6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3822"/>
        <w:gridCol w:w="1587"/>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46" w:type="dxa"/>
          </w:tcPr>
          <w:p>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3822" w:type="dxa"/>
          </w:tcPr>
          <w:p>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设备名称</w:t>
            </w:r>
          </w:p>
        </w:tc>
        <w:tc>
          <w:tcPr>
            <w:tcW w:w="1587" w:type="dxa"/>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数量</w:t>
            </w:r>
          </w:p>
        </w:tc>
        <w:tc>
          <w:tcPr>
            <w:tcW w:w="1602" w:type="dxa"/>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46" w:type="dxa"/>
          </w:tcPr>
          <w:p>
            <w:pPr>
              <w:widowControl w:val="0"/>
              <w:numPr>
                <w:ilvl w:val="0"/>
                <w:numId w:val="0"/>
              </w:numPr>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3822" w:type="dxa"/>
            <w:vAlign w:val="center"/>
          </w:tcPr>
          <w:p>
            <w:pPr>
              <w:keepNext w:val="0"/>
              <w:keepLines w:val="0"/>
              <w:widowControl/>
              <w:suppressLineNumbers w:val="0"/>
              <w:ind w:left="0" w:leftChars="0" w:firstLine="0" w:firstLineChars="0"/>
              <w:jc w:val="left"/>
              <w:textAlignment w:val="cente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新能源专用车</w:t>
            </w:r>
          </w:p>
        </w:tc>
        <w:tc>
          <w:tcPr>
            <w:tcW w:w="1587" w:type="dxa"/>
            <w:vAlign w:val="center"/>
          </w:tcPr>
          <w:p>
            <w:pPr>
              <w:keepNext w:val="0"/>
              <w:keepLines w:val="0"/>
              <w:widowControl/>
              <w:suppressLineNumbers w:val="0"/>
              <w:ind w:left="0" w:leftChars="0" w:firstLine="0" w:firstLineChars="0"/>
              <w:jc w:val="left"/>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1602" w:type="dxa"/>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台</w:t>
            </w:r>
          </w:p>
        </w:tc>
      </w:tr>
    </w:tbl>
    <w:p/>
    <w:p>
      <w:pPr>
        <w:pStyle w:val="6"/>
      </w:pPr>
    </w:p>
    <w:p>
      <w:pPr>
        <w:pStyle w:val="6"/>
      </w:pPr>
    </w:p>
    <w:p>
      <w:pPr>
        <w:pStyle w:val="6"/>
      </w:pPr>
    </w:p>
    <w:p>
      <w:pPr>
        <w:pStyle w:val="6"/>
      </w:pPr>
    </w:p>
    <w:p>
      <w:pPr>
        <w:pStyle w:val="6"/>
        <w:jc w:val="center"/>
        <w:rPr>
          <w:rFonts w:hint="default"/>
          <w:b/>
          <w:bCs/>
          <w:color w:val="000000" w:themeColor="text1"/>
          <w:sz w:val="40"/>
          <w:szCs w:val="32"/>
          <w:lang w:val="en-US" w:eastAsia="zh-CN"/>
          <w14:textFill>
            <w14:solidFill>
              <w14:schemeClr w14:val="tx1"/>
            </w14:solidFill>
          </w14:textFill>
        </w:rPr>
      </w:pPr>
      <w:r>
        <w:rPr>
          <w:rFonts w:hint="eastAsia"/>
          <w:b/>
          <w:bCs/>
          <w:color w:val="000000" w:themeColor="text1"/>
          <w:sz w:val="40"/>
          <w:szCs w:val="32"/>
          <w:lang w:val="en-US" w:eastAsia="zh-CN"/>
          <w14:textFill>
            <w14:solidFill>
              <w14:schemeClr w14:val="tx1"/>
            </w14:solidFill>
          </w14:textFill>
        </w:rPr>
        <w:t>二、技术要求</w:t>
      </w:r>
    </w:p>
    <w:tbl>
      <w:tblPr>
        <w:tblStyle w:val="4"/>
        <w:tblpPr w:leftFromText="180" w:rightFromText="180" w:vertAnchor="text" w:horzAnchor="page" w:tblpX="2036"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50"/>
        <w:gridCol w:w="5879"/>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spacing w:line="300" w:lineRule="exact"/>
              <w:ind w:firstLine="0" w:firstLineChars="0"/>
              <w:jc w:val="center"/>
              <w:rPr>
                <w:b/>
                <w:bCs/>
              </w:rPr>
            </w:pPr>
            <w:r>
              <w:rPr>
                <w:rFonts w:hint="eastAsia"/>
                <w:b/>
                <w:bCs/>
              </w:rPr>
              <w:t>序号</w:t>
            </w:r>
          </w:p>
        </w:tc>
        <w:tc>
          <w:tcPr>
            <w:tcW w:w="650" w:type="dxa"/>
            <w:vAlign w:val="center"/>
          </w:tcPr>
          <w:p>
            <w:pPr>
              <w:spacing w:line="300" w:lineRule="exact"/>
              <w:ind w:firstLine="0" w:firstLineChars="0"/>
              <w:jc w:val="center"/>
              <w:rPr>
                <w:b/>
                <w:bCs/>
              </w:rPr>
            </w:pPr>
            <w:r>
              <w:rPr>
                <w:rFonts w:hint="eastAsia"/>
                <w:b/>
                <w:bCs/>
              </w:rPr>
              <w:t>名称</w:t>
            </w:r>
          </w:p>
        </w:tc>
        <w:tc>
          <w:tcPr>
            <w:tcW w:w="5879" w:type="dxa"/>
            <w:vAlign w:val="center"/>
          </w:tcPr>
          <w:p>
            <w:pPr>
              <w:spacing w:line="300" w:lineRule="exact"/>
              <w:ind w:firstLine="0" w:firstLineChars="0"/>
              <w:jc w:val="center"/>
              <w:rPr>
                <w:b/>
                <w:bCs/>
              </w:rPr>
            </w:pPr>
            <w:r>
              <w:rPr>
                <w:rFonts w:hint="eastAsia"/>
                <w:b/>
                <w:bCs/>
              </w:rPr>
              <w:t>采购需求概况</w:t>
            </w:r>
          </w:p>
        </w:tc>
        <w:tc>
          <w:tcPr>
            <w:tcW w:w="771" w:type="dxa"/>
            <w:vAlign w:val="center"/>
          </w:tcPr>
          <w:p>
            <w:pPr>
              <w:spacing w:line="300" w:lineRule="exact"/>
              <w:ind w:firstLine="0" w:firstLineChars="0"/>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620" w:type="dxa"/>
            <w:vAlign w:val="center"/>
          </w:tcPr>
          <w:p>
            <w:pPr>
              <w:spacing w:line="300" w:lineRule="exact"/>
              <w:ind w:firstLine="0" w:firstLineChars="0"/>
              <w:jc w:val="center"/>
              <w:rPr>
                <w:rFonts w:hint="eastAsia" w:asciiTheme="majorEastAsia" w:hAnsiTheme="majorEastAsia" w:eastAsiaTheme="majorEastAsia" w:cstheme="majorEastAsia"/>
                <w:sz w:val="24"/>
                <w:szCs w:val="21"/>
                <w:lang w:val="en-US" w:eastAsia="zh-CN"/>
              </w:rPr>
            </w:pPr>
            <w:r>
              <w:rPr>
                <w:rFonts w:hint="eastAsia" w:asciiTheme="majorEastAsia" w:hAnsiTheme="majorEastAsia" w:eastAsiaTheme="majorEastAsia" w:cstheme="majorEastAsia"/>
                <w:sz w:val="24"/>
                <w:szCs w:val="21"/>
                <w:lang w:val="en-US" w:eastAsia="zh-CN"/>
              </w:rPr>
              <w:t>1</w:t>
            </w:r>
          </w:p>
        </w:tc>
        <w:tc>
          <w:tcPr>
            <w:tcW w:w="650" w:type="dxa"/>
            <w:vAlign w:val="center"/>
          </w:tcPr>
          <w:p>
            <w:pPr>
              <w:spacing w:line="300" w:lineRule="exact"/>
              <w:ind w:firstLine="0" w:firstLineChars="0"/>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新</w:t>
            </w:r>
          </w:p>
          <w:p>
            <w:pPr>
              <w:spacing w:line="300" w:lineRule="exact"/>
              <w:ind w:firstLine="0" w:firstLineChars="0"/>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能</w:t>
            </w:r>
          </w:p>
          <w:p>
            <w:pPr>
              <w:spacing w:line="300" w:lineRule="exact"/>
              <w:ind w:firstLine="0" w:firstLineChars="0"/>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源</w:t>
            </w:r>
          </w:p>
          <w:p>
            <w:pPr>
              <w:spacing w:line="300" w:lineRule="exact"/>
              <w:ind w:firstLine="0" w:firstLineChars="0"/>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专</w:t>
            </w:r>
          </w:p>
          <w:p>
            <w:pPr>
              <w:spacing w:line="300" w:lineRule="exact"/>
              <w:ind w:firstLine="0" w:firstLineChars="0"/>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用</w:t>
            </w:r>
          </w:p>
          <w:p>
            <w:pPr>
              <w:spacing w:line="300" w:lineRule="exact"/>
              <w:ind w:firstLine="0" w:firstLineChars="0"/>
              <w:rPr>
                <w:rFonts w:hint="eastAsia" w:asciiTheme="majorEastAsia" w:hAnsiTheme="majorEastAsia" w:eastAsiaTheme="majorEastAsia" w:cstheme="majorEastAsia"/>
                <w:sz w:val="24"/>
                <w:szCs w:val="21"/>
                <w:lang w:val="en-US" w:eastAsia="zh-CN"/>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车</w:t>
            </w:r>
          </w:p>
        </w:tc>
        <w:tc>
          <w:tcPr>
            <w:tcW w:w="5879" w:type="dxa"/>
            <w:vAlign w:val="center"/>
          </w:tcPr>
          <w:p>
            <w:pPr>
              <w:numPr>
                <w:ilvl w:val="0"/>
                <w:numId w:val="0"/>
              </w:numPr>
              <w:spacing w:line="300" w:lineRule="exact"/>
              <w:rPr>
                <w:rFonts w:hint="eastAsia"/>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一．车身配置：</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▲1.底盘及车架：采用承载式整体无损连接焊缝车架，底盘车架要达到 10 年及以上防锈要求，整体要经过阴极电泳和烤漆技术处理。（提供车辆生产商无损连接焊缝检测报告复印件）中标商签合同时查验原件 。</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▲2.车身的主要材质：无缝接钣金笼式车身，其余机舱前盖、前侧围、后侧围以及尾部的材质均为玻璃钢件。（提供车辆生产商车身关键焊缝磁粉检测报告复印件）中标商签合同时查验原件 。</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3.前挡风玻璃：厚度≥5mm，汽车专用挡风钢化玻璃。</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▲4.仪表板：采用阻燃性至少达到 GB8410-2006。内饰： 整车内饰采用吸塑材料（提供车辆生产商汽车内饰材料检验报告及强制认证复印件）中标商签合同时查验原件 。</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5.悬挂系统： 前悬挂采用滑柱摆臂式独立悬架； 后悬挂采用钢板弹簧非独立悬挂。</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▲6.电机及控制器：≥4KW交流异步电机，防尘防水等级至少达到 IP54，交流智能控制器可靠性高，整体封装，防水性好， 操控平稳，防尘防水等级至少达到 IP65 （提供车辆供货商智能控制器数据反馈平台系统计算机软件著作权登记证书复印件）中标商签合同时查验原件 。</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7.电池：≥48V/120ah免维护大容量深循环铅酸电池。</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8.制动系统：前碟后鼓式液压双回路专用汽车制动器，制动距离小于 5 米，初始速度 20km/h 时制动距离≤3m。；汽车专用驻车制动系统；驻车制动：机械式作用于后轮。</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9.转向系统：齿轮齿条式转向器，转向器转向轴：十字轴万向节与挠性接头。</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10.充电器：高频脉冲全自动智能化充电器，具有过充保护功能和过载保护功能，保护电池，延长电池的使用寿命。</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11.座椅：防雨防晒塑料座椅。</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12.轮胎：采用不低于 165/70R13配置。</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13.警具：高品质的红蓝警灯。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▲二.技术参数（提供车辆生产商投标车型国家特种设备型式试验报告复印件）中标商签合同时查验原件，以下第1-9项参数投标响应文件内与型式试验报告需一致。</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1.外形尺寸：长4110mm/宽1530mm /高1900mm±10mm（不含后视镜及警灯）。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2.轴距：≤2860mm。</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3.轮距：（前）：1280mm±10mm；（后）：1290mm±10mm。</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4.最小离地间隙：≥130mm。</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5.额定乘员：8人。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6.整备质量：≥1340kg。</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7.最小转弯半径：≤6300mm；</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8.最大设计爬坡度：≥20%；</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8"/>
                <w:szCs w:val="22"/>
              </w:rPr>
            </w:pPr>
            <w:r>
              <w:rPr>
                <w:rFonts w:hint="eastAsia"/>
                <w:sz w:val="28"/>
                <w:szCs w:val="22"/>
              </w:rPr>
              <w:t>9.最高车速：（空载）：≥30km/h；（满载）：≥28km。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2"/>
              </w:rPr>
            </w:pPr>
            <w:r>
              <w:rPr>
                <w:rFonts w:hint="eastAsia"/>
                <w:sz w:val="28"/>
                <w:szCs w:val="22"/>
              </w:rPr>
              <w:t>10.续航里程（空载）：≥80km；（满载）：≥60km</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以上带▲部分为产品核心参数，投标方必须满足，</w:t>
            </w:r>
            <w:r>
              <w:rPr>
                <w:rFonts w:hint="eastAsia" w:ascii="宋体" w:hAnsi="宋体" w:eastAsia="宋体" w:cs="宋体"/>
                <w:i w:val="0"/>
                <w:iCs w:val="0"/>
                <w:color w:val="000000"/>
                <w:kern w:val="0"/>
                <w:sz w:val="28"/>
                <w:szCs w:val="28"/>
                <w:u w:val="none"/>
                <w:lang w:val="en-US" w:eastAsia="zh-CN" w:bidi="ar"/>
              </w:rPr>
              <w:t>如不能完全满足采购方技术参数要求（有一条不满足即可），视为虚假中标，则投标无效，投标保证金不予退还。</w:t>
            </w:r>
          </w:p>
          <w:p>
            <w:pPr>
              <w:pStyle w:val="7"/>
              <w:rPr>
                <w:rFonts w:hint="default" w:eastAsia="黑体"/>
                <w:lang w:val="en-US" w:eastAsia="zh-CN"/>
              </w:rPr>
            </w:pPr>
          </w:p>
        </w:tc>
        <w:tc>
          <w:tcPr>
            <w:tcW w:w="771" w:type="dxa"/>
            <w:vAlign w:val="center"/>
          </w:tcPr>
          <w:p>
            <w:pPr>
              <w:spacing w:line="300" w:lineRule="exact"/>
              <w:ind w:firstLine="0" w:firstLineChars="0"/>
              <w:jc w:val="center"/>
              <w:rPr>
                <w:rFonts w:hint="eastAsia" w:asciiTheme="majorEastAsia" w:hAnsiTheme="majorEastAsia" w:eastAsiaTheme="majorEastAsia" w:cstheme="majorEastAsia"/>
                <w:sz w:val="24"/>
                <w:szCs w:val="21"/>
                <w:lang w:val="en-US" w:eastAsia="zh-CN"/>
              </w:rPr>
            </w:pPr>
          </w:p>
        </w:tc>
      </w:tr>
    </w:tbl>
    <w:p>
      <w:pPr>
        <w:pStyle w:val="6"/>
      </w:pPr>
    </w:p>
    <w:p>
      <w:pPr>
        <w:pStyle w:val="6"/>
      </w:pPr>
    </w:p>
    <w:p>
      <w:pPr>
        <w:pStyle w:val="6"/>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黑体">
    <w:panose1 w:val="02000500000000000000"/>
    <w:charset w:val="86"/>
    <w:family w:val="auto"/>
    <w:pitch w:val="default"/>
    <w:sig w:usb0="A00002BF" w:usb1="38CF7CFA" w:usb2="00000016" w:usb3="00000000" w:csb0="00040001" w:csb1="00000000"/>
  </w:font>
  <w:font w:name="方正楷体_GBK">
    <w:panose1 w:val="02000000000000000000"/>
    <w:charset w:val="86"/>
    <w:family w:val="script"/>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OTYwOWIzNDEyNWMzM2ViNTI4ZGVjYmM4NzE0MjgifQ=="/>
  </w:docVars>
  <w:rsids>
    <w:rsidRoot w:val="00000000"/>
    <w:rsid w:val="00251415"/>
    <w:rsid w:val="05337233"/>
    <w:rsid w:val="0B7A0D77"/>
    <w:rsid w:val="26A03E06"/>
    <w:rsid w:val="38B10BD7"/>
    <w:rsid w:val="3F5C2BA5"/>
    <w:rsid w:val="430C7E67"/>
    <w:rsid w:val="45924412"/>
    <w:rsid w:val="53BC4540"/>
    <w:rsid w:val="7EE7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UserStyle_0"/>
    <w:semiHidden/>
    <w:qFormat/>
    <w:uiPriority w:val="0"/>
    <w:pPr>
      <w:textAlignment w:val="baseline"/>
    </w:pPr>
    <w:rPr>
      <w:rFonts w:ascii="宋体" w:hAnsi="Times New Roman" w:eastAsia="宋体" w:cstheme="minorBidi"/>
      <w:color w:val="000000"/>
      <w:sz w:val="24"/>
      <w:lang w:val="en-US" w:eastAsia="zh-CN" w:bidi="ar-SA"/>
    </w:rPr>
  </w:style>
  <w:style w:type="paragraph" w:customStyle="1" w:styleId="7">
    <w:name w:val="Heading4"/>
    <w:basedOn w:val="1"/>
    <w:next w:val="1"/>
    <w:qFormat/>
    <w:uiPriority w:val="0"/>
    <w:pPr>
      <w:keepNext/>
      <w:keepLines/>
      <w:spacing w:before="280" w:after="290" w:line="376" w:lineRule="auto"/>
    </w:pPr>
    <w:rPr>
      <w:rFonts w:ascii="Arial" w:hAnsi="Arial" w:eastAsia="黑体" w:cs="Arial Black"/>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1307</Words>
  <Characters>1883</Characters>
  <Lines>0</Lines>
  <Paragraphs>0</Paragraphs>
  <TotalTime>4</TotalTime>
  <ScaleCrop>false</ScaleCrop>
  <LinksUpToDate>false</LinksUpToDate>
  <CharactersWithSpaces>2070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2022-06-06T00:02:00Z</dcterms:created>
  <dc:creator>Administrator</dc:creator>
  <cp:lastModifiedBy>火球</cp:lastModifiedBy>
  <cp:lastPrinted>2022-09-21T02:43:00Z</cp:lastPrinted>
  <dcterms:modified xsi:type="dcterms:W3CDTF">2022-11-30T02:51:34Z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A29D864B7E0E4D538A8C8EC845C74181</vt:lpwstr>
  </property>
</Properties>
</file>