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3402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9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111111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111111"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color w:val="111111"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color w:val="111111"/>
                <w:kern w:val="0"/>
                <w:sz w:val="32"/>
                <w:szCs w:val="32"/>
              </w:rPr>
              <w:t>附件1：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111111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校园环境整治内容及要求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内容、要求及说明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场地清理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人工清理D幢范围内的石块、砖头、建筑垃圾等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清理出的石块、砖头、建筑垃圾外运或深埋处理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草坪铺设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D幢范围及边坡满铺草坪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总铺设面积约8340平方，草坪铺设前人工堑碎堑细泥土，使草坪与土壤贴合紧密。边坡铺设种植土厚度不低于10cm厚，其他地方根据需要铺设种植土，满铺草坪（中间不留连接缝），用黄沙铺面，再浇水处理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草坪养护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对该项目所涉及的草坪进行养护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1、草坪铺设后养护一年，保证生长正常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2、根据需要除草、浇水，整个养护期间至少除草两次；至少每两个月浇一次水，7、8、9月高温期间根据天气情况浇水</w:t>
            </w:r>
          </w:p>
          <w:p>
            <w:r>
              <w:rPr>
                <w:rFonts w:hint="eastAsia"/>
              </w:rPr>
              <w:t>3、</w:t>
            </w:r>
            <w:r>
              <w:rPr>
                <w:rFonts w:hint="eastAsia"/>
                <w:color w:val="000000"/>
                <w:sz w:val="20"/>
                <w:szCs w:val="20"/>
              </w:rPr>
              <w:t>在养护期到前一个月对草坪进行一次修剪（或根据需要由学校指定时间修剪一次）</w:t>
            </w:r>
          </w:p>
        </w:tc>
      </w:tr>
      <w:tr>
        <w:trPr>
          <w:trHeight w:val="71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移栽灌木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根据学校要求在校内移栽灌木（含球形灌木）到指定位置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移栽数量约100株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浇水管道铺设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从河道安装60管至D幢指定位置用于草坪浇水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按相应规范安装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此项所需材料由甲方提供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F7CC5"/>
    <w:multiLevelType w:val="multilevel"/>
    <w:tmpl w:val="5FBF7CC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Q1ZWRkYjIyODdhMDU1NjhhODhlNmQ0OTQxZDcifQ=="/>
  </w:docVars>
  <w:rsids>
    <w:rsidRoot w:val="1B0761AD"/>
    <w:rsid w:val="1B07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2023-02-27T07:08:00Z</dcterms:created>
  <dc:creator>bgsl</dc:creator>
  <cp:lastModifiedBy>bgsl</cp:lastModifiedBy>
  <dcterms:modified xsi:type="dcterms:W3CDTF">2023-02-27T07:12:53Z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0481F808EA6C4578ACFC7DD6C4EA9AFB</vt:lpwstr>
  </property>
</Properties>
</file>